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45" w:rsidRPr="00AF3B45" w:rsidRDefault="00AF3B45" w:rsidP="00AF3B45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</w:rPr>
      </w:pPr>
      <w:r w:rsidRPr="00AF3B45">
        <w:rPr>
          <w:rFonts w:ascii="Times New Roman" w:eastAsia="Times New Roman" w:hAnsi="Times New Roman" w:cs="Times New Roman"/>
          <w:kern w:val="36"/>
          <w:sz w:val="44"/>
          <w:szCs w:val="44"/>
        </w:rPr>
        <w:t>Нестандартные дидактические игры и упражнения как средство формирования сенсорной культуры у детей старшего дошкольного возраста</w:t>
      </w:r>
    </w:p>
    <w:p w:rsidR="00AF3B45" w:rsidRPr="00AF3B45" w:rsidRDefault="00AF3B45" w:rsidP="00AF3B4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AF3B45">
        <w:rPr>
          <w:rFonts w:ascii="Verdana" w:eastAsia="Times New Roman" w:hAnsi="Verdana" w:cs="Times New Roman"/>
          <w:color w:val="303F50"/>
          <w:sz w:val="21"/>
          <w:szCs w:val="21"/>
        </w:rPr>
        <w:t>Дидактическая игра является ценным средством воспитания сенсорной активности детей, помогает ребенку узнать, как устроен окружающий мир, расширить его кругозор.</w:t>
      </w:r>
    </w:p>
    <w:p w:rsidR="00AF3B45" w:rsidRPr="00AF3B45" w:rsidRDefault="00AF3B45" w:rsidP="00AF3B4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AF3B45">
        <w:rPr>
          <w:rFonts w:ascii="Verdana" w:eastAsia="Times New Roman" w:hAnsi="Verdana" w:cs="Times New Roman"/>
          <w:color w:val="303F50"/>
          <w:sz w:val="21"/>
          <w:szCs w:val="21"/>
        </w:rPr>
        <w:t>Нестандартные дидактические игры по сенсорному развитию обладают высоким развивающим потенциалом, 4, С. 234]</w:t>
      </w:r>
      <w:proofErr w:type="gramStart"/>
      <w:r w:rsidRPr="00AF3B45">
        <w:rPr>
          <w:rFonts w:ascii="Verdana" w:eastAsia="Times New Roman" w:hAnsi="Verdana" w:cs="Times New Roman"/>
          <w:color w:val="303F50"/>
          <w:sz w:val="21"/>
          <w:szCs w:val="21"/>
        </w:rPr>
        <w:t>.</w:t>
      </w:r>
      <w:proofErr w:type="gramEnd"/>
      <w:r w:rsidRPr="00AF3B45">
        <w:rPr>
          <w:rFonts w:ascii="Verdana" w:eastAsia="Times New Roman" w:hAnsi="Verdana" w:cs="Times New Roman"/>
          <w:color w:val="303F50"/>
          <w:sz w:val="21"/>
          <w:szCs w:val="21"/>
        </w:rPr>
        <w:t xml:space="preserve"> </w:t>
      </w:r>
      <w:proofErr w:type="gramStart"/>
      <w:r w:rsidRPr="00AF3B45">
        <w:rPr>
          <w:rFonts w:ascii="Verdana" w:eastAsia="Times New Roman" w:hAnsi="Verdana" w:cs="Times New Roman"/>
          <w:color w:val="303F50"/>
          <w:sz w:val="21"/>
          <w:szCs w:val="21"/>
        </w:rPr>
        <w:t>и</w:t>
      </w:r>
      <w:proofErr w:type="gramEnd"/>
      <w:r w:rsidRPr="00AF3B45">
        <w:rPr>
          <w:rFonts w:ascii="Verdana" w:eastAsia="Times New Roman" w:hAnsi="Verdana" w:cs="Times New Roman"/>
          <w:color w:val="303F50"/>
          <w:sz w:val="21"/>
          <w:szCs w:val="21"/>
        </w:rPr>
        <w:t>менно данный вид дидактической игры, мы и использовали во время прохождения практики.</w:t>
      </w:r>
    </w:p>
    <w:p w:rsidR="00AF3B45" w:rsidRPr="00AF3B45" w:rsidRDefault="00AF3B45" w:rsidP="00AF3B4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AF3B45">
        <w:rPr>
          <w:rFonts w:ascii="Verdana" w:eastAsia="Times New Roman" w:hAnsi="Verdana" w:cs="Times New Roman"/>
          <w:color w:val="303F50"/>
          <w:sz w:val="21"/>
          <w:szCs w:val="21"/>
        </w:rPr>
        <w:t>Нестандартные дидактические игры условно длятся на три вида:</w:t>
      </w:r>
    </w:p>
    <w:p w:rsidR="00AF3B45" w:rsidRPr="00AF3B45" w:rsidRDefault="00AF3B45" w:rsidP="00AF3B45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AF3B45">
        <w:rPr>
          <w:rFonts w:ascii="Verdana" w:eastAsia="Times New Roman" w:hAnsi="Verdana" w:cs="Times New Roman"/>
          <w:color w:val="303F50"/>
          <w:sz w:val="21"/>
          <w:szCs w:val="21"/>
        </w:rPr>
        <w:t>«Игры по освоению основных сенсорных эталонов».</w:t>
      </w:r>
    </w:p>
    <w:p w:rsidR="00AF3B45" w:rsidRPr="00AF3B45" w:rsidRDefault="00AF3B45" w:rsidP="00AF3B45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AF3B45">
        <w:rPr>
          <w:rFonts w:ascii="Verdana" w:eastAsia="Times New Roman" w:hAnsi="Verdana" w:cs="Times New Roman"/>
          <w:color w:val="303F50"/>
          <w:sz w:val="21"/>
          <w:szCs w:val="21"/>
        </w:rPr>
        <w:t>«Игры на развитие мелкой моторики».</w:t>
      </w:r>
    </w:p>
    <w:p w:rsidR="00AF3B45" w:rsidRPr="00AF3B45" w:rsidRDefault="00AF3B45" w:rsidP="00AF3B45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AF3B45">
        <w:rPr>
          <w:rFonts w:ascii="Verdana" w:eastAsia="Times New Roman" w:hAnsi="Verdana" w:cs="Times New Roman"/>
          <w:color w:val="303F50"/>
          <w:sz w:val="21"/>
          <w:szCs w:val="21"/>
        </w:rPr>
        <w:t>«Игры на развитие тактильно – двигательного восприятия».</w:t>
      </w:r>
    </w:p>
    <w:p w:rsidR="00AF3B45" w:rsidRPr="00AF3B45" w:rsidRDefault="00AF3B45" w:rsidP="00AF3B4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AF3B45">
        <w:rPr>
          <w:rFonts w:ascii="Verdana" w:eastAsia="Times New Roman" w:hAnsi="Verdana" w:cs="Times New Roman"/>
          <w:color w:val="303F50"/>
          <w:sz w:val="21"/>
          <w:szCs w:val="21"/>
        </w:rPr>
        <w:t>Таким образом, нами была выдвинута теория, что использование нестандартных дидактических игр способствует формированию сенсорных эталонов и вносит существенный вклад в развитие сенсорных процессов у детей, что мы и доказали в процессе прохождения педагогической практики, проводя экспериментальную работу на базе ДОУ.</w:t>
      </w:r>
    </w:p>
    <w:p w:rsidR="00AF3B45" w:rsidRPr="00AF3B45" w:rsidRDefault="00AF3B45" w:rsidP="00AF3B4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AF3B45">
        <w:rPr>
          <w:rFonts w:ascii="Verdana" w:eastAsia="Times New Roman" w:hAnsi="Verdana" w:cs="Times New Roman"/>
          <w:color w:val="303F50"/>
          <w:sz w:val="21"/>
          <w:szCs w:val="21"/>
        </w:rPr>
        <w:t>Рассмотрим подробно некоторые нестандартные дидактические игры.</w:t>
      </w:r>
    </w:p>
    <w:p w:rsidR="00AF3B45" w:rsidRPr="00AF3B45" w:rsidRDefault="00AF3B45" w:rsidP="00AF3B4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AF3B45">
        <w:rPr>
          <w:rFonts w:ascii="Verdana" w:eastAsia="Times New Roman" w:hAnsi="Verdana" w:cs="Times New Roman"/>
          <w:color w:val="303F50"/>
          <w:sz w:val="21"/>
          <w:szCs w:val="21"/>
        </w:rPr>
        <w:t>Игра «Собери картинку по геометрической форме» (Б. Никитин) [3, С. 34].</w:t>
      </w:r>
    </w:p>
    <w:p w:rsidR="00AF3B45" w:rsidRPr="00AF3B45" w:rsidRDefault="00AF3B45" w:rsidP="00AF3B4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303F50"/>
          <w:sz w:val="21"/>
          <w:szCs w:val="21"/>
        </w:rPr>
        <w:drawing>
          <wp:inline distT="0" distB="0" distL="0" distR="0">
            <wp:extent cx="5238750" cy="3505200"/>
            <wp:effectExtent l="19050" t="0" r="0" b="0"/>
            <wp:docPr id="1" name="Рисунок 1" descr="Игра «Собери картинку по геометрической форм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а «Собери картинку по геометрической форме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B45" w:rsidRPr="00AF3B45" w:rsidRDefault="00AF3B45" w:rsidP="00AF3B4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AF3B45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>Игра состоит из геометрических фигур. Все фигуры окрашены различно, в 4 цвета. Это позволяет составлять из них 1, 2, 3 - и даже 4 - разноцветные картинки. Тем самым дети учатся подбирать геометрические фигуры в соответствии с формой вкладышей; закреплять знание названий геометрических фигур; развивать мышление, речь, внимание, мелкую моторику рук, воспитывать усидчивость при выполнении работы.</w:t>
      </w:r>
    </w:p>
    <w:p w:rsidR="00AF3B45" w:rsidRPr="00AF3B45" w:rsidRDefault="00AF3B45" w:rsidP="00AF3B4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AF3B45">
        <w:rPr>
          <w:rFonts w:ascii="Verdana" w:eastAsia="Times New Roman" w:hAnsi="Verdana" w:cs="Times New Roman"/>
          <w:color w:val="303F50"/>
          <w:sz w:val="21"/>
          <w:szCs w:val="21"/>
        </w:rPr>
        <w:t>Следующее нестандартное упражнение "Ловкие ручки" данная игра научит ребенка застегивать и расстегивать пуговицы, зашнуровывать и расшнуровывать, застегивать замок, развитие внимания, усидчивости.</w:t>
      </w:r>
    </w:p>
    <w:p w:rsidR="00AF3B45" w:rsidRPr="00AF3B45" w:rsidRDefault="00AF3B45" w:rsidP="00AF3B4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303F50"/>
          <w:sz w:val="21"/>
          <w:szCs w:val="21"/>
        </w:rPr>
        <w:drawing>
          <wp:inline distT="0" distB="0" distL="0" distR="0">
            <wp:extent cx="5238750" cy="4314825"/>
            <wp:effectExtent l="19050" t="0" r="0" b="0"/>
            <wp:docPr id="2" name="Рисунок 2" descr="упражнение &quot;Ловкие руч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пражнение &quot;Ловкие ручки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B45" w:rsidRPr="00AF3B45" w:rsidRDefault="00AF3B45" w:rsidP="00AF3B4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AF3B45">
        <w:rPr>
          <w:rFonts w:ascii="Verdana" w:eastAsia="Times New Roman" w:hAnsi="Verdana" w:cs="Times New Roman"/>
          <w:color w:val="303F50"/>
          <w:sz w:val="21"/>
          <w:szCs w:val="21"/>
        </w:rPr>
        <w:t xml:space="preserve">Игра представляет собою набор кармашков – заданий. </w:t>
      </w:r>
      <w:proofErr w:type="gramStart"/>
      <w:r w:rsidRPr="00AF3B45">
        <w:rPr>
          <w:rFonts w:ascii="Verdana" w:eastAsia="Times New Roman" w:hAnsi="Verdana" w:cs="Times New Roman"/>
          <w:color w:val="303F50"/>
          <w:sz w:val="21"/>
          <w:szCs w:val="21"/>
        </w:rPr>
        <w:t>В каждом из них индивидуальное задание, открыть - закрыть замок, зашнуровать шнурки, застегнуть - расстегнуть пуговицы, застегнуть - расстегнуть петельки, и т.д.</w:t>
      </w:r>
      <w:proofErr w:type="gramEnd"/>
      <w:r w:rsidRPr="00AF3B45">
        <w:rPr>
          <w:rFonts w:ascii="Verdana" w:eastAsia="Times New Roman" w:hAnsi="Verdana" w:cs="Times New Roman"/>
          <w:color w:val="303F50"/>
          <w:sz w:val="21"/>
          <w:szCs w:val="21"/>
        </w:rPr>
        <w:t xml:space="preserve"> Данная игра способствует развитию мелкой моторики, усидчивости, а также развивает познания в предметно-бытовой среде.</w:t>
      </w:r>
    </w:p>
    <w:p w:rsidR="00AF3B45" w:rsidRPr="00AF3B45" w:rsidRDefault="00AF3B45" w:rsidP="00AF3B4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AF3B45">
        <w:rPr>
          <w:rFonts w:ascii="Verdana" w:eastAsia="Times New Roman" w:hAnsi="Verdana" w:cs="Times New Roman"/>
          <w:color w:val="303F50"/>
          <w:sz w:val="21"/>
          <w:szCs w:val="21"/>
        </w:rPr>
        <w:t>Развивающая игра «Квадратики с секретом». Цель: обогащать активный словарь детей новыми словами, развивать память, внимание, мелкую моторику.</w:t>
      </w:r>
    </w:p>
    <w:p w:rsidR="00AF3B45" w:rsidRPr="00AF3B45" w:rsidRDefault="00AF3B45" w:rsidP="00AF3B4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AF3B45">
        <w:rPr>
          <w:rFonts w:ascii="Verdana" w:eastAsia="Times New Roman" w:hAnsi="Verdana" w:cs="Times New Roman"/>
          <w:color w:val="303F50"/>
          <w:sz w:val="21"/>
          <w:szCs w:val="21"/>
        </w:rPr>
        <w:t>Осязание или тактильное восприятие играет важную роль в развитии. И связано с развитием воображения, образного мышления и творческих способностей речи у детей. А тренировка мелкой моторики пальцев рук стимулирует своевременное развитие речевых навыков.</w:t>
      </w:r>
    </w:p>
    <w:p w:rsidR="00AF3B45" w:rsidRPr="00AF3B45" w:rsidRDefault="00AF3B45" w:rsidP="00AF3B4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AF3B45">
        <w:rPr>
          <w:rFonts w:ascii="Verdana" w:eastAsia="Times New Roman" w:hAnsi="Verdana" w:cs="Times New Roman"/>
          <w:color w:val="303F50"/>
          <w:sz w:val="21"/>
          <w:szCs w:val="21"/>
        </w:rPr>
        <w:t xml:space="preserve">Каждый «квадратик» сшит из непрозрачной ткани. Это плоская подушечка размером 6х6, внутри которой находится картонный каркас, а в центре – один </w:t>
      </w:r>
      <w:r w:rsidRPr="00AF3B45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>маленький предмет. «Квадратиков» с одинаковыми предметами внутри должно быть парное количество. Эта игра многофункциональная.</w:t>
      </w:r>
    </w:p>
    <w:p w:rsidR="00AF3B45" w:rsidRPr="00AF3B45" w:rsidRDefault="00AF3B45" w:rsidP="00AF3B4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AF3B45">
        <w:rPr>
          <w:rFonts w:ascii="Verdana" w:eastAsia="Times New Roman" w:hAnsi="Verdana" w:cs="Times New Roman"/>
          <w:color w:val="303F50"/>
          <w:sz w:val="21"/>
          <w:szCs w:val="21"/>
        </w:rPr>
        <w:t>Первый вариант «Найди пару». Ребенок ощупывает «квадратик» и находит к нему пару.</w:t>
      </w:r>
    </w:p>
    <w:p w:rsidR="00AF3B45" w:rsidRPr="00AF3B45" w:rsidRDefault="00AF3B45" w:rsidP="00AF3B4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AF3B45">
        <w:rPr>
          <w:rFonts w:ascii="Verdana" w:eastAsia="Times New Roman" w:hAnsi="Verdana" w:cs="Times New Roman"/>
          <w:color w:val="303F50"/>
          <w:sz w:val="21"/>
          <w:szCs w:val="21"/>
        </w:rPr>
        <w:t>Второй вариант. Нужно разделить «квадратики» на две кучки так, чтобы в каждой не было одинаковых. Первую кучку разложите на столе, а «квадратики» из второй раздайте игрокам поровну. Свои «квадратики» игроки кладут перед собой. Взрослый становится ведущим, но тоже может принимать участие в игре. Ведущий берет «квадратик», ощупывает его и описывает его содержимое словами. Например, говорит, что там большой гладкий камень. Игрок, у которого есть парный «квадратик», берет его себе. Выигрывает тот, кто первым получит пару для каждого из своих «квадратиков».</w:t>
      </w:r>
    </w:p>
    <w:p w:rsidR="00AF3B45" w:rsidRPr="00AF3B45" w:rsidRDefault="00AF3B45" w:rsidP="00AF3B4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AF3B45">
        <w:rPr>
          <w:rFonts w:ascii="Verdana" w:eastAsia="Times New Roman" w:hAnsi="Verdana" w:cs="Times New Roman"/>
          <w:color w:val="303F50"/>
          <w:sz w:val="21"/>
          <w:szCs w:val="21"/>
        </w:rPr>
        <w:t>Таким образом, на протяжении периода педагогического эксперимента индивидуально мы проводили занятия по развитию сенсорной культуры с использованием нестандартных дидактических игр и упражнений. После проведения формирующего этапа эксперимента мы повторно провели методики «Коробочка форм», «Эталоны» и «</w:t>
      </w:r>
      <w:proofErr w:type="spellStart"/>
      <w:r w:rsidRPr="00AF3B45">
        <w:rPr>
          <w:rFonts w:ascii="Verdana" w:eastAsia="Times New Roman" w:hAnsi="Verdana" w:cs="Times New Roman"/>
          <w:color w:val="303F50"/>
          <w:sz w:val="21"/>
          <w:szCs w:val="21"/>
        </w:rPr>
        <w:t>Перцептивное</w:t>
      </w:r>
      <w:proofErr w:type="spellEnd"/>
      <w:r w:rsidRPr="00AF3B45">
        <w:rPr>
          <w:rFonts w:ascii="Verdana" w:eastAsia="Times New Roman" w:hAnsi="Verdana" w:cs="Times New Roman"/>
          <w:color w:val="303F50"/>
          <w:sz w:val="21"/>
          <w:szCs w:val="21"/>
        </w:rPr>
        <w:t xml:space="preserve"> моделирование».</w:t>
      </w:r>
    </w:p>
    <w:p w:rsidR="00AF3B45" w:rsidRPr="00AF3B45" w:rsidRDefault="00AF3B45" w:rsidP="00AF3B4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AF3B45">
        <w:rPr>
          <w:rFonts w:ascii="Verdana" w:eastAsia="Times New Roman" w:hAnsi="Verdana" w:cs="Times New Roman"/>
          <w:color w:val="303F50"/>
          <w:sz w:val="21"/>
          <w:szCs w:val="21"/>
        </w:rPr>
        <w:t>Фаворитом нестандартных дидактических игр остается «</w:t>
      </w:r>
      <w:proofErr w:type="spellStart"/>
      <w:r w:rsidRPr="00AF3B45">
        <w:rPr>
          <w:rFonts w:ascii="Verdana" w:eastAsia="Times New Roman" w:hAnsi="Verdana" w:cs="Times New Roman"/>
          <w:color w:val="303F50"/>
          <w:sz w:val="21"/>
          <w:szCs w:val="21"/>
        </w:rPr>
        <w:t>Бизиборд</w:t>
      </w:r>
      <w:proofErr w:type="spellEnd"/>
      <w:r w:rsidRPr="00AF3B45">
        <w:rPr>
          <w:rFonts w:ascii="Verdana" w:eastAsia="Times New Roman" w:hAnsi="Verdana" w:cs="Times New Roman"/>
          <w:color w:val="303F50"/>
          <w:sz w:val="21"/>
          <w:szCs w:val="21"/>
        </w:rPr>
        <w:t>» или «</w:t>
      </w:r>
      <w:proofErr w:type="spellStart"/>
      <w:r w:rsidRPr="00AF3B45">
        <w:rPr>
          <w:rFonts w:ascii="Verdana" w:eastAsia="Times New Roman" w:hAnsi="Verdana" w:cs="Times New Roman"/>
          <w:color w:val="303F50"/>
          <w:sz w:val="21"/>
          <w:szCs w:val="21"/>
        </w:rPr>
        <w:t>Бизи-дом</w:t>
      </w:r>
      <w:proofErr w:type="spellEnd"/>
      <w:r w:rsidRPr="00AF3B45">
        <w:rPr>
          <w:rFonts w:ascii="Verdana" w:eastAsia="Times New Roman" w:hAnsi="Verdana" w:cs="Times New Roman"/>
          <w:color w:val="303F50"/>
          <w:sz w:val="21"/>
          <w:szCs w:val="21"/>
        </w:rPr>
        <w:t>», данная конструкция направлена на развитие всех областей восприятия, мелкая моторика, сенсорное развитие, зрительное восприятие, тактильные упражнения, развитие бытовых навыков. Но, следует учесть, что при создании «</w:t>
      </w:r>
      <w:proofErr w:type="spellStart"/>
      <w:r w:rsidRPr="00AF3B45">
        <w:rPr>
          <w:rFonts w:ascii="Verdana" w:eastAsia="Times New Roman" w:hAnsi="Verdana" w:cs="Times New Roman"/>
          <w:color w:val="303F50"/>
          <w:sz w:val="21"/>
          <w:szCs w:val="21"/>
        </w:rPr>
        <w:t>Бизиборда</w:t>
      </w:r>
      <w:proofErr w:type="spellEnd"/>
      <w:r w:rsidRPr="00AF3B45">
        <w:rPr>
          <w:rFonts w:ascii="Verdana" w:eastAsia="Times New Roman" w:hAnsi="Verdana" w:cs="Times New Roman"/>
          <w:color w:val="303F50"/>
          <w:sz w:val="21"/>
          <w:szCs w:val="21"/>
        </w:rPr>
        <w:t>», «</w:t>
      </w:r>
      <w:proofErr w:type="spellStart"/>
      <w:r w:rsidRPr="00AF3B45">
        <w:rPr>
          <w:rFonts w:ascii="Verdana" w:eastAsia="Times New Roman" w:hAnsi="Verdana" w:cs="Times New Roman"/>
          <w:color w:val="303F50"/>
          <w:sz w:val="21"/>
          <w:szCs w:val="21"/>
        </w:rPr>
        <w:t>Бизи-дома</w:t>
      </w:r>
      <w:proofErr w:type="spellEnd"/>
      <w:r w:rsidRPr="00AF3B45">
        <w:rPr>
          <w:rFonts w:ascii="Verdana" w:eastAsia="Times New Roman" w:hAnsi="Verdana" w:cs="Times New Roman"/>
          <w:color w:val="303F50"/>
          <w:sz w:val="21"/>
          <w:szCs w:val="21"/>
        </w:rPr>
        <w:t>», специалисты высказываются против установки на «</w:t>
      </w:r>
      <w:proofErr w:type="spellStart"/>
      <w:r w:rsidRPr="00AF3B45">
        <w:rPr>
          <w:rFonts w:ascii="Verdana" w:eastAsia="Times New Roman" w:hAnsi="Verdana" w:cs="Times New Roman"/>
          <w:color w:val="303F50"/>
          <w:sz w:val="21"/>
          <w:szCs w:val="21"/>
        </w:rPr>
        <w:t>бизи-локацию</w:t>
      </w:r>
      <w:proofErr w:type="spellEnd"/>
      <w:r w:rsidRPr="00AF3B45">
        <w:rPr>
          <w:rFonts w:ascii="Verdana" w:eastAsia="Times New Roman" w:hAnsi="Verdana" w:cs="Times New Roman"/>
          <w:color w:val="303F50"/>
          <w:sz w:val="21"/>
          <w:szCs w:val="21"/>
        </w:rPr>
        <w:t xml:space="preserve">» электрической розетки и вилки, т </w:t>
      </w:r>
      <w:proofErr w:type="gramStart"/>
      <w:r w:rsidRPr="00AF3B45">
        <w:rPr>
          <w:rFonts w:ascii="Verdana" w:eastAsia="Times New Roman" w:hAnsi="Verdana" w:cs="Times New Roman"/>
          <w:color w:val="303F50"/>
          <w:sz w:val="21"/>
          <w:szCs w:val="21"/>
        </w:rPr>
        <w:t>к</w:t>
      </w:r>
      <w:proofErr w:type="gramEnd"/>
      <w:r w:rsidRPr="00AF3B45">
        <w:rPr>
          <w:rFonts w:ascii="Verdana" w:eastAsia="Times New Roman" w:hAnsi="Verdana" w:cs="Times New Roman"/>
          <w:color w:val="303F50"/>
          <w:sz w:val="21"/>
          <w:szCs w:val="21"/>
        </w:rPr>
        <w:t xml:space="preserve"> </w:t>
      </w:r>
      <w:proofErr w:type="gramStart"/>
      <w:r w:rsidRPr="00AF3B45">
        <w:rPr>
          <w:rFonts w:ascii="Verdana" w:eastAsia="Times New Roman" w:hAnsi="Verdana" w:cs="Times New Roman"/>
          <w:color w:val="303F50"/>
          <w:sz w:val="21"/>
          <w:szCs w:val="21"/>
        </w:rPr>
        <w:t>обращение</w:t>
      </w:r>
      <w:proofErr w:type="gramEnd"/>
      <w:r w:rsidRPr="00AF3B45">
        <w:rPr>
          <w:rFonts w:ascii="Verdana" w:eastAsia="Times New Roman" w:hAnsi="Verdana" w:cs="Times New Roman"/>
          <w:color w:val="303F50"/>
          <w:sz w:val="21"/>
          <w:szCs w:val="21"/>
        </w:rPr>
        <w:t xml:space="preserve"> данным реквизитом в быту очень опасно для детей любого возраста. Так же создать «</w:t>
      </w:r>
      <w:proofErr w:type="spellStart"/>
      <w:r w:rsidRPr="00AF3B45">
        <w:rPr>
          <w:rFonts w:ascii="Verdana" w:eastAsia="Times New Roman" w:hAnsi="Verdana" w:cs="Times New Roman"/>
          <w:color w:val="303F50"/>
          <w:sz w:val="21"/>
          <w:szCs w:val="21"/>
        </w:rPr>
        <w:t>Бизи-локацию</w:t>
      </w:r>
      <w:proofErr w:type="spellEnd"/>
      <w:r w:rsidRPr="00AF3B45">
        <w:rPr>
          <w:rFonts w:ascii="Verdana" w:eastAsia="Times New Roman" w:hAnsi="Verdana" w:cs="Times New Roman"/>
          <w:color w:val="303F50"/>
          <w:sz w:val="21"/>
          <w:szCs w:val="21"/>
        </w:rPr>
        <w:t>» можно с помощью родителей, и представить это как групповая работа, работа с родителями. Или привлечь к изготовлению столь нестандартной дидактической игре детей. «</w:t>
      </w:r>
      <w:proofErr w:type="spellStart"/>
      <w:r w:rsidRPr="00AF3B45">
        <w:rPr>
          <w:rFonts w:ascii="Verdana" w:eastAsia="Times New Roman" w:hAnsi="Verdana" w:cs="Times New Roman"/>
          <w:color w:val="303F50"/>
          <w:sz w:val="21"/>
          <w:szCs w:val="21"/>
        </w:rPr>
        <w:t>Бизи-локация</w:t>
      </w:r>
      <w:proofErr w:type="spellEnd"/>
      <w:r w:rsidRPr="00AF3B45">
        <w:rPr>
          <w:rFonts w:ascii="Verdana" w:eastAsia="Times New Roman" w:hAnsi="Verdana" w:cs="Times New Roman"/>
          <w:color w:val="303F50"/>
          <w:sz w:val="21"/>
          <w:szCs w:val="21"/>
        </w:rPr>
        <w:t>» не имеет больших затрат, туда можно крепить попадающиеся под руку предметы быта.</w:t>
      </w:r>
    </w:p>
    <w:p w:rsidR="00AF3B45" w:rsidRPr="00AF3B45" w:rsidRDefault="00AF3B45" w:rsidP="00AF3B4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AF3B45">
        <w:rPr>
          <w:rFonts w:ascii="Verdana" w:eastAsia="Times New Roman" w:hAnsi="Verdana" w:cs="Times New Roman"/>
          <w:color w:val="303F50"/>
          <w:sz w:val="21"/>
          <w:szCs w:val="21"/>
        </w:rPr>
        <w:t>Так же следует отметить, что нестандартная дидактическая игра – это новая, не надоедливая развивающая игра.</w:t>
      </w:r>
    </w:p>
    <w:p w:rsidR="00AF3B45" w:rsidRPr="00AF3B45" w:rsidRDefault="00AF3B45" w:rsidP="00AF3B4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</w:rPr>
      </w:pPr>
      <w:r w:rsidRPr="00AF3B45">
        <w:rPr>
          <w:rFonts w:ascii="Verdana" w:eastAsia="Times New Roman" w:hAnsi="Verdana" w:cs="Times New Roman"/>
          <w:i/>
          <w:iCs/>
          <w:color w:val="303F50"/>
          <w:sz w:val="21"/>
          <w:szCs w:val="21"/>
        </w:rPr>
        <w:t>Литература:</w:t>
      </w:r>
    </w:p>
    <w:p w:rsidR="00AF3B45" w:rsidRPr="00AF3B45" w:rsidRDefault="00AF3B45" w:rsidP="00AF3B45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AF3B45">
        <w:rPr>
          <w:rFonts w:ascii="Verdana" w:eastAsia="Times New Roman" w:hAnsi="Verdana" w:cs="Times New Roman"/>
          <w:color w:val="303F50"/>
          <w:sz w:val="21"/>
          <w:szCs w:val="21"/>
        </w:rPr>
        <w:t>Федеральный государственный стандарт дошкольного образования Приказ Министерства образования и науки Российской Федерации (</w:t>
      </w:r>
      <w:proofErr w:type="spellStart"/>
      <w:r w:rsidRPr="00AF3B45">
        <w:rPr>
          <w:rFonts w:ascii="Verdana" w:eastAsia="Times New Roman" w:hAnsi="Verdana" w:cs="Times New Roman"/>
          <w:color w:val="303F50"/>
          <w:sz w:val="21"/>
          <w:szCs w:val="21"/>
        </w:rPr>
        <w:t>Минобрнауки</w:t>
      </w:r>
      <w:proofErr w:type="spellEnd"/>
      <w:r w:rsidRPr="00AF3B45">
        <w:rPr>
          <w:rFonts w:ascii="Verdana" w:eastAsia="Times New Roman" w:hAnsi="Verdana" w:cs="Times New Roman"/>
          <w:color w:val="303F50"/>
          <w:sz w:val="21"/>
          <w:szCs w:val="21"/>
        </w:rPr>
        <w:t xml:space="preserve"> России) от 17 октября 2013 г. N 1155 г. Москва «Об утверждении федерального государственного образовательного стандарта дошкольного образования.</w:t>
      </w:r>
    </w:p>
    <w:p w:rsidR="00AF3B45" w:rsidRPr="00AF3B45" w:rsidRDefault="00AF3B45" w:rsidP="00AF3B45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AF3B45">
        <w:rPr>
          <w:rFonts w:ascii="Verdana" w:eastAsia="Times New Roman" w:hAnsi="Verdana" w:cs="Times New Roman"/>
          <w:color w:val="303F50"/>
          <w:sz w:val="21"/>
          <w:szCs w:val="21"/>
        </w:rPr>
        <w:t xml:space="preserve">Запорожец А. В. Развитие ощущений и восприятий в раннем и дошкольном возрасте. - М.: Просвещение. 1986. Т.1. 378 </w:t>
      </w:r>
      <w:proofErr w:type="spellStart"/>
      <w:r w:rsidRPr="00AF3B45">
        <w:rPr>
          <w:rFonts w:ascii="Verdana" w:eastAsia="Times New Roman" w:hAnsi="Verdana" w:cs="Times New Roman"/>
          <w:color w:val="303F50"/>
          <w:sz w:val="21"/>
          <w:szCs w:val="21"/>
        </w:rPr>
        <w:t>c</w:t>
      </w:r>
      <w:proofErr w:type="spellEnd"/>
      <w:r w:rsidRPr="00AF3B45">
        <w:rPr>
          <w:rFonts w:ascii="Verdana" w:eastAsia="Times New Roman" w:hAnsi="Verdana" w:cs="Times New Roman"/>
          <w:color w:val="303F50"/>
          <w:sz w:val="21"/>
          <w:szCs w:val="21"/>
        </w:rPr>
        <w:t>.</w:t>
      </w:r>
    </w:p>
    <w:p w:rsidR="00AF3B45" w:rsidRPr="00AF3B45" w:rsidRDefault="00AF3B45" w:rsidP="00AF3B45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proofErr w:type="spellStart"/>
      <w:r w:rsidRPr="00AF3B45">
        <w:rPr>
          <w:rFonts w:ascii="Verdana" w:eastAsia="Times New Roman" w:hAnsi="Verdana" w:cs="Times New Roman"/>
          <w:color w:val="303F50"/>
          <w:sz w:val="21"/>
          <w:szCs w:val="21"/>
        </w:rPr>
        <w:t>Кашеварова</w:t>
      </w:r>
      <w:proofErr w:type="spellEnd"/>
      <w:r w:rsidRPr="00AF3B45">
        <w:rPr>
          <w:rFonts w:ascii="Verdana" w:eastAsia="Times New Roman" w:hAnsi="Verdana" w:cs="Times New Roman"/>
          <w:color w:val="303F50"/>
          <w:sz w:val="21"/>
          <w:szCs w:val="21"/>
        </w:rPr>
        <w:t xml:space="preserve"> Л. </w:t>
      </w:r>
      <w:proofErr w:type="spellStart"/>
      <w:r w:rsidRPr="00AF3B45">
        <w:rPr>
          <w:rFonts w:ascii="Verdana" w:eastAsia="Times New Roman" w:hAnsi="Verdana" w:cs="Times New Roman"/>
          <w:color w:val="303F50"/>
          <w:sz w:val="21"/>
          <w:szCs w:val="21"/>
        </w:rPr>
        <w:t>Цветовосприятие</w:t>
      </w:r>
      <w:proofErr w:type="spellEnd"/>
      <w:r w:rsidRPr="00AF3B45">
        <w:rPr>
          <w:rFonts w:ascii="Verdana" w:eastAsia="Times New Roman" w:hAnsi="Verdana" w:cs="Times New Roman"/>
          <w:color w:val="303F50"/>
          <w:sz w:val="21"/>
          <w:szCs w:val="21"/>
        </w:rPr>
        <w:t xml:space="preserve"> // Дошкольное воспитание. N 2. 2005. С. 5-14.</w:t>
      </w:r>
    </w:p>
    <w:p w:rsidR="00F208DF" w:rsidRDefault="00F208DF"/>
    <w:sectPr w:rsidR="00F2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D360E"/>
    <w:multiLevelType w:val="multilevel"/>
    <w:tmpl w:val="13D42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996410"/>
    <w:multiLevelType w:val="multilevel"/>
    <w:tmpl w:val="EDEAE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B45"/>
    <w:rsid w:val="00AF3B45"/>
    <w:rsid w:val="00F2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B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F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4323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2022-12-14T16:20:00Z</dcterms:created>
  <dcterms:modified xsi:type="dcterms:W3CDTF">2022-12-14T16:21:00Z</dcterms:modified>
</cp:coreProperties>
</file>